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Tahoma" w:hAnsi="Tahom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A33E99" w:rsidP="00A33E99">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2ED7E2A3" wp14:editId="2B1E4375">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606508">
      <w:pPr>
        <w:autoSpaceDE w:val="0"/>
        <w:autoSpaceDN w:val="0"/>
        <w:adjustRightInd w:val="0"/>
        <w:rPr>
          <w:rFonts w:ascii="Verdana" w:hAnsi="Verdana" w:cs="Tahoma"/>
        </w:rPr>
      </w:pPr>
    </w:p>
    <w:p w:rsidR="00606508" w:rsidRDefault="0039774B">
      <w:pPr>
        <w:pStyle w:val="Header"/>
        <w:ind w:left="-709" w:right="-766"/>
        <w:jc w:val="center"/>
        <w:rPr>
          <w:rFonts w:ascii="Verdana" w:hAnsi="Verdana"/>
          <w:b/>
          <w:sz w:val="46"/>
        </w:rPr>
      </w:pPr>
      <w:r>
        <w:rPr>
          <w:rFonts w:ascii="Verdana" w:hAnsi="Verdana"/>
          <w:b/>
          <w:sz w:val="46"/>
        </w:rPr>
        <w:t>St Anthony’s School</w:t>
      </w:r>
    </w:p>
    <w:p w:rsidR="00606508" w:rsidRDefault="00606508">
      <w:pPr>
        <w:pStyle w:val="Header"/>
        <w:ind w:left="-709" w:right="-766"/>
        <w:jc w:val="center"/>
        <w:rPr>
          <w:rFonts w:ascii="Verdana" w:hAnsi="Verdana"/>
          <w:b/>
          <w:sz w:val="46"/>
        </w:rPr>
      </w:pPr>
    </w:p>
    <w:p w:rsidR="00606508" w:rsidRDefault="00606508">
      <w:pPr>
        <w:pStyle w:val="Header"/>
        <w:ind w:left="-709" w:right="-766"/>
        <w:jc w:val="center"/>
        <w:rPr>
          <w:rFonts w:ascii="Verdana" w:hAnsi="Verdana"/>
          <w:b/>
          <w:sz w:val="46"/>
        </w:rPr>
      </w:pPr>
    </w:p>
    <w:p w:rsidR="00606508" w:rsidRDefault="0039774B">
      <w:pPr>
        <w:pStyle w:val="Header"/>
        <w:ind w:left="-709" w:right="-766"/>
        <w:jc w:val="center"/>
        <w:rPr>
          <w:rFonts w:ascii="Verdana" w:hAnsi="Verdana"/>
          <w:b/>
          <w:sz w:val="46"/>
        </w:rPr>
      </w:pPr>
      <w:r>
        <w:rPr>
          <w:rFonts w:ascii="Verdana" w:hAnsi="Verdana"/>
          <w:b/>
          <w:sz w:val="46"/>
        </w:rPr>
        <w:t>Policy N</w:t>
      </w:r>
      <w:r w:rsidR="00904617">
        <w:rPr>
          <w:rFonts w:ascii="Verdana" w:hAnsi="Verdana"/>
          <w:b/>
          <w:sz w:val="46"/>
        </w:rPr>
        <w:t>o 38: Governors Allowance</w:t>
      </w:r>
    </w:p>
    <w:p w:rsidR="00606508" w:rsidRDefault="00606508">
      <w:pPr>
        <w:pStyle w:val="Header"/>
        <w:ind w:left="-709" w:right="-766"/>
        <w:jc w:val="center"/>
        <w:rPr>
          <w:rFonts w:ascii="Verdana" w:hAnsi="Verdana"/>
          <w:b/>
          <w:sz w:val="46"/>
        </w:rPr>
      </w:pPr>
    </w:p>
    <w:p w:rsidR="00606508" w:rsidRDefault="00606508">
      <w:pPr>
        <w:pStyle w:val="Header"/>
        <w:ind w:left="-709" w:right="-766"/>
        <w:jc w:val="center"/>
        <w:rPr>
          <w:rFonts w:ascii="Verdana" w:hAnsi="Verdana"/>
          <w:b/>
          <w:sz w:val="46"/>
        </w:rPr>
      </w:pPr>
    </w:p>
    <w:p w:rsidR="00606508" w:rsidRPr="00A26575" w:rsidRDefault="00A26575">
      <w:pPr>
        <w:pStyle w:val="Header"/>
        <w:ind w:left="-709" w:right="-766"/>
        <w:jc w:val="center"/>
        <w:rPr>
          <w:rFonts w:ascii="Verdana" w:hAnsi="Verdana"/>
          <w:b/>
          <w:color w:val="FF0000"/>
          <w:sz w:val="28"/>
        </w:rPr>
      </w:pPr>
      <w:r w:rsidRPr="007C460A">
        <w:rPr>
          <w:rFonts w:ascii="Verdana" w:hAnsi="Verdana"/>
          <w:b/>
          <w:color w:val="000000" w:themeColor="text1"/>
          <w:sz w:val="46"/>
        </w:rPr>
        <w:t>September 2024</w:t>
      </w:r>
    </w:p>
    <w:p w:rsidR="00606508" w:rsidRDefault="00606508">
      <w:pPr>
        <w:autoSpaceDE w:val="0"/>
        <w:autoSpaceDN w:val="0"/>
        <w:adjustRightInd w:val="0"/>
        <w:jc w:val="center"/>
        <w:rPr>
          <w:rFonts w:ascii="Verdana" w:hAnsi="Verdana"/>
        </w:rPr>
      </w:pPr>
    </w:p>
    <w:p w:rsidR="00606508" w:rsidRDefault="00606508">
      <w:pPr>
        <w:autoSpaceDE w:val="0"/>
        <w:autoSpaceDN w:val="0"/>
        <w:adjustRightInd w:val="0"/>
        <w:rPr>
          <w:rFonts w:ascii="Verdana" w:hAnsi="Verdana"/>
        </w:rPr>
      </w:pPr>
    </w:p>
    <w:p w:rsidR="00606508" w:rsidRDefault="00606508">
      <w:pPr>
        <w:autoSpaceDE w:val="0"/>
        <w:autoSpaceDN w:val="0"/>
        <w:adjustRightInd w:val="0"/>
        <w:rPr>
          <w:rFonts w:ascii="Verdana" w:hAnsi="Verdana"/>
        </w:rPr>
      </w:pPr>
    </w:p>
    <w:p w:rsidR="00606508" w:rsidRDefault="00606508">
      <w:pPr>
        <w:autoSpaceDE w:val="0"/>
        <w:autoSpaceDN w:val="0"/>
        <w:adjustRightInd w:val="0"/>
        <w:jc w:val="center"/>
        <w:rPr>
          <w:rFonts w:ascii="Verdana" w:hAnsi="Verdana"/>
        </w:rPr>
      </w:pPr>
    </w:p>
    <w:p w:rsidR="00606508" w:rsidRDefault="00606508">
      <w:pPr>
        <w:rPr>
          <w:rFonts w:ascii="Verdana" w:hAnsi="Verdana"/>
          <w:b/>
          <w:sz w:val="28"/>
          <w:szCs w:val="28"/>
          <w:u w:val="single"/>
        </w:rPr>
      </w:pPr>
    </w:p>
    <w:p w:rsidR="00606508" w:rsidRDefault="00606508">
      <w:pPr>
        <w:autoSpaceDE w:val="0"/>
        <w:autoSpaceDN w:val="0"/>
        <w:adjustRightInd w:val="0"/>
        <w:ind w:left="-709"/>
        <w:rPr>
          <w:rFonts w:ascii="Verdana" w:hAnsi="Verdana"/>
          <w:b/>
          <w:sz w:val="28"/>
          <w:szCs w:val="28"/>
          <w:u w:val="single"/>
        </w:rPr>
      </w:pPr>
    </w:p>
    <w:p w:rsidR="00606508" w:rsidRDefault="0039774B">
      <w:pPr>
        <w:pStyle w:val="TOC1"/>
        <w:tabs>
          <w:tab w:val="right" w:leader="dot" w:pos="8296"/>
        </w:tabs>
        <w:rPr>
          <w:b/>
          <w:sz w:val="28"/>
          <w:szCs w:val="28"/>
          <w:u w:val="single"/>
        </w:rPr>
      </w:pPr>
      <w:r>
        <w:rPr>
          <w:sz w:val="28"/>
          <w:szCs w:val="28"/>
          <w:u w:val="single"/>
        </w:rPr>
        <w:t xml:space="preserve">Contents </w:t>
      </w:r>
    </w:p>
    <w:bookmarkStart w:id="0" w:name="_Toc473632252"/>
    <w:p w:rsidR="00AE0EA5" w:rsidRDefault="0039774B">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"1-1" \h \z \u </w:instrText>
      </w:r>
      <w:r>
        <w:fldChar w:fldCharType="separate"/>
      </w:r>
      <w:hyperlink w:anchor="_Toc3185229" w:history="1">
        <w:r w:rsidR="00AE0EA5" w:rsidRPr="00DC740E">
          <w:rPr>
            <w:rStyle w:val="Hyperlink"/>
            <w:b/>
            <w:noProof/>
          </w:rPr>
          <w:t>Introduction</w:t>
        </w:r>
        <w:r w:rsidR="00AE0EA5">
          <w:rPr>
            <w:noProof/>
            <w:webHidden/>
          </w:rPr>
          <w:tab/>
        </w:r>
        <w:r w:rsidR="00AE0EA5">
          <w:rPr>
            <w:noProof/>
            <w:webHidden/>
          </w:rPr>
          <w:fldChar w:fldCharType="begin"/>
        </w:r>
        <w:r w:rsidR="00AE0EA5">
          <w:rPr>
            <w:noProof/>
            <w:webHidden/>
          </w:rPr>
          <w:instrText xml:space="preserve"> PAGEREF _Toc3185229 \h </w:instrText>
        </w:r>
        <w:r w:rsidR="00AE0EA5">
          <w:rPr>
            <w:noProof/>
            <w:webHidden/>
          </w:rPr>
        </w:r>
        <w:r w:rsidR="00AE0EA5">
          <w:rPr>
            <w:noProof/>
            <w:webHidden/>
          </w:rPr>
          <w:fldChar w:fldCharType="separate"/>
        </w:r>
        <w:r w:rsidR="001A1CF9">
          <w:rPr>
            <w:noProof/>
            <w:webHidden/>
          </w:rPr>
          <w:t>3</w:t>
        </w:r>
        <w:r w:rsidR="00AE0EA5">
          <w:rPr>
            <w:noProof/>
            <w:webHidden/>
          </w:rPr>
          <w:fldChar w:fldCharType="end"/>
        </w:r>
      </w:hyperlink>
    </w:p>
    <w:p w:rsidR="00AE0EA5" w:rsidRDefault="007C460A">
      <w:pPr>
        <w:pStyle w:val="TOC1"/>
        <w:tabs>
          <w:tab w:val="right" w:leader="dot" w:pos="8296"/>
        </w:tabs>
        <w:rPr>
          <w:rFonts w:asciiTheme="minorHAnsi" w:eastAsiaTheme="minorEastAsia" w:hAnsiTheme="minorHAnsi" w:cstheme="minorBidi"/>
          <w:i w:val="0"/>
          <w:noProof/>
          <w:sz w:val="22"/>
          <w:szCs w:val="22"/>
        </w:rPr>
      </w:pPr>
      <w:hyperlink w:anchor="_Toc3185230" w:history="1">
        <w:r w:rsidR="00AE0EA5" w:rsidRPr="00DC740E">
          <w:rPr>
            <w:rStyle w:val="Hyperlink"/>
            <w:rFonts w:cs="Arial"/>
            <w:b/>
            <w:noProof/>
          </w:rPr>
          <w:t>Expense Allowances</w:t>
        </w:r>
        <w:r w:rsidR="00AE0EA5">
          <w:rPr>
            <w:noProof/>
            <w:webHidden/>
          </w:rPr>
          <w:tab/>
        </w:r>
        <w:r w:rsidR="00AE0EA5">
          <w:rPr>
            <w:noProof/>
            <w:webHidden/>
          </w:rPr>
          <w:fldChar w:fldCharType="begin"/>
        </w:r>
        <w:r w:rsidR="00AE0EA5">
          <w:rPr>
            <w:noProof/>
            <w:webHidden/>
          </w:rPr>
          <w:instrText xml:space="preserve"> PAGEREF _Toc3185230 \h </w:instrText>
        </w:r>
        <w:r w:rsidR="00AE0EA5">
          <w:rPr>
            <w:noProof/>
            <w:webHidden/>
          </w:rPr>
        </w:r>
        <w:r w:rsidR="00AE0EA5">
          <w:rPr>
            <w:noProof/>
            <w:webHidden/>
          </w:rPr>
          <w:fldChar w:fldCharType="separate"/>
        </w:r>
        <w:r w:rsidR="001A1CF9">
          <w:rPr>
            <w:noProof/>
            <w:webHidden/>
          </w:rPr>
          <w:t>4</w:t>
        </w:r>
        <w:r w:rsidR="00AE0EA5">
          <w:rPr>
            <w:noProof/>
            <w:webHidden/>
          </w:rPr>
          <w:fldChar w:fldCharType="end"/>
        </w:r>
      </w:hyperlink>
    </w:p>
    <w:p w:rsidR="00AE0EA5" w:rsidRDefault="007C460A">
      <w:pPr>
        <w:pStyle w:val="TOC1"/>
        <w:tabs>
          <w:tab w:val="right" w:leader="dot" w:pos="8296"/>
        </w:tabs>
        <w:rPr>
          <w:rFonts w:asciiTheme="minorHAnsi" w:eastAsiaTheme="minorEastAsia" w:hAnsiTheme="minorHAnsi" w:cstheme="minorBidi"/>
          <w:i w:val="0"/>
          <w:noProof/>
          <w:sz w:val="22"/>
          <w:szCs w:val="22"/>
        </w:rPr>
      </w:pPr>
      <w:hyperlink w:anchor="_Toc3185231" w:history="1">
        <w:r w:rsidR="00AE0EA5" w:rsidRPr="00DC740E">
          <w:rPr>
            <w:rStyle w:val="Hyperlink"/>
            <w:rFonts w:cs="Arial"/>
            <w:b/>
            <w:noProof/>
          </w:rPr>
          <w:t>Claiming Expenses</w:t>
        </w:r>
        <w:r w:rsidR="00AE0EA5">
          <w:rPr>
            <w:noProof/>
            <w:webHidden/>
          </w:rPr>
          <w:tab/>
        </w:r>
        <w:r w:rsidR="00AE0EA5">
          <w:rPr>
            <w:noProof/>
            <w:webHidden/>
          </w:rPr>
          <w:fldChar w:fldCharType="begin"/>
        </w:r>
        <w:r w:rsidR="00AE0EA5">
          <w:rPr>
            <w:noProof/>
            <w:webHidden/>
          </w:rPr>
          <w:instrText xml:space="preserve"> PAGEREF _Toc3185231 \h </w:instrText>
        </w:r>
        <w:r w:rsidR="00AE0EA5">
          <w:rPr>
            <w:noProof/>
            <w:webHidden/>
          </w:rPr>
        </w:r>
        <w:r w:rsidR="00AE0EA5">
          <w:rPr>
            <w:noProof/>
            <w:webHidden/>
          </w:rPr>
          <w:fldChar w:fldCharType="separate"/>
        </w:r>
        <w:r w:rsidR="001A1CF9">
          <w:rPr>
            <w:noProof/>
            <w:webHidden/>
          </w:rPr>
          <w:t>5</w:t>
        </w:r>
        <w:r w:rsidR="00AE0EA5">
          <w:rPr>
            <w:noProof/>
            <w:webHidden/>
          </w:rPr>
          <w:fldChar w:fldCharType="end"/>
        </w:r>
      </w:hyperlink>
    </w:p>
    <w:p w:rsidR="00AE0EA5" w:rsidRDefault="007C460A">
      <w:pPr>
        <w:pStyle w:val="TOC1"/>
        <w:tabs>
          <w:tab w:val="right" w:leader="dot" w:pos="8296"/>
        </w:tabs>
        <w:rPr>
          <w:rFonts w:asciiTheme="minorHAnsi" w:eastAsiaTheme="minorEastAsia" w:hAnsiTheme="minorHAnsi" w:cstheme="minorBidi"/>
          <w:i w:val="0"/>
          <w:noProof/>
          <w:sz w:val="22"/>
          <w:szCs w:val="22"/>
        </w:rPr>
      </w:pPr>
      <w:hyperlink w:anchor="_Toc3185232" w:history="1">
        <w:r w:rsidR="00AE0EA5" w:rsidRPr="00DC740E">
          <w:rPr>
            <w:rStyle w:val="Hyperlink"/>
            <w:rFonts w:cs="Arial"/>
            <w:b/>
            <w:noProof/>
          </w:rPr>
          <w:t>Monitoring arrangements</w:t>
        </w:r>
        <w:r w:rsidR="00AE0EA5">
          <w:rPr>
            <w:noProof/>
            <w:webHidden/>
          </w:rPr>
          <w:tab/>
        </w:r>
        <w:r w:rsidR="00AE0EA5">
          <w:rPr>
            <w:noProof/>
            <w:webHidden/>
          </w:rPr>
          <w:fldChar w:fldCharType="begin"/>
        </w:r>
        <w:r w:rsidR="00AE0EA5">
          <w:rPr>
            <w:noProof/>
            <w:webHidden/>
          </w:rPr>
          <w:instrText xml:space="preserve"> PAGEREF _Toc3185232 \h </w:instrText>
        </w:r>
        <w:r w:rsidR="00AE0EA5">
          <w:rPr>
            <w:noProof/>
            <w:webHidden/>
          </w:rPr>
        </w:r>
        <w:r w:rsidR="00AE0EA5">
          <w:rPr>
            <w:noProof/>
            <w:webHidden/>
          </w:rPr>
          <w:fldChar w:fldCharType="separate"/>
        </w:r>
        <w:r w:rsidR="001A1CF9">
          <w:rPr>
            <w:noProof/>
            <w:webHidden/>
          </w:rPr>
          <w:t>5</w:t>
        </w:r>
        <w:r w:rsidR="00AE0EA5">
          <w:rPr>
            <w:noProof/>
            <w:webHidden/>
          </w:rPr>
          <w:fldChar w:fldCharType="end"/>
        </w:r>
      </w:hyperlink>
    </w:p>
    <w:p w:rsidR="00606508" w:rsidRDefault="0039774B">
      <w:pPr>
        <w:rPr>
          <w:rFonts w:asciiTheme="majorHAnsi" w:eastAsiaTheme="majorEastAsia" w:hAnsiTheme="majorHAnsi" w:cstheme="majorBidi"/>
          <w:color w:val="365F91" w:themeColor="accent1" w:themeShade="BF"/>
          <w:sz w:val="32"/>
          <w:szCs w:val="32"/>
        </w:rPr>
      </w:pPr>
      <w:r>
        <w:rPr>
          <w:rFonts w:ascii="Verdana" w:hAnsi="Verdana"/>
          <w:b/>
          <w:sz w:val="20"/>
        </w:rPr>
        <w:fldChar w:fldCharType="end"/>
      </w:r>
      <w:r>
        <w:br w:type="page"/>
      </w:r>
    </w:p>
    <w:bookmarkEnd w:id="0"/>
    <w:p w:rsidR="00606508" w:rsidRDefault="00606508"/>
    <w:p w:rsidR="00904617" w:rsidRPr="00904617" w:rsidRDefault="00904617" w:rsidP="00904617">
      <w:pPr>
        <w:pStyle w:val="Heading1"/>
        <w:rPr>
          <w:rFonts w:ascii="Verdana" w:hAnsi="Verdana"/>
          <w:b/>
          <w:color w:val="000000" w:themeColor="text1"/>
          <w:sz w:val="20"/>
          <w:szCs w:val="20"/>
        </w:rPr>
      </w:pPr>
      <w:bookmarkStart w:id="1" w:name="_Toc3185229"/>
      <w:r w:rsidRPr="00904617">
        <w:rPr>
          <w:rFonts w:ascii="Verdana" w:hAnsi="Verdana"/>
          <w:b/>
          <w:color w:val="000000" w:themeColor="text1"/>
          <w:sz w:val="20"/>
          <w:szCs w:val="20"/>
        </w:rPr>
        <w:t>Introduction</w:t>
      </w:r>
      <w:bookmarkEnd w:id="1"/>
    </w:p>
    <w:p w:rsidR="00904617" w:rsidRPr="00904617" w:rsidRDefault="00904617" w:rsidP="00904617">
      <w:pPr>
        <w:jc w:val="both"/>
        <w:rPr>
          <w:rFonts w:ascii="Verdana" w:hAnsi="Verdana"/>
          <w:color w:val="000000" w:themeColor="text1"/>
          <w:sz w:val="20"/>
          <w:szCs w:val="20"/>
        </w:rPr>
      </w:pPr>
    </w:p>
    <w:p w:rsidR="00904617" w:rsidRPr="00904617" w:rsidRDefault="00904617" w:rsidP="00904617">
      <w:pPr>
        <w:jc w:val="both"/>
        <w:rPr>
          <w:rFonts w:ascii="Verdana" w:hAnsi="Verdana" w:cs="Arial"/>
          <w:b/>
          <w:color w:val="000000" w:themeColor="text1"/>
          <w:sz w:val="20"/>
          <w:szCs w:val="20"/>
        </w:rPr>
      </w:pPr>
      <w:r w:rsidRPr="00904617">
        <w:rPr>
          <w:rFonts w:ascii="Verdana" w:hAnsi="Verdana" w:cs="Arial"/>
          <w:color w:val="000000" w:themeColor="text1"/>
          <w:sz w:val="20"/>
          <w:szCs w:val="20"/>
        </w:rPr>
        <w:t xml:space="preserve">The Governing Body of St Anthony’s School in having a delegated budget, has a statutory duty to determine whether to pay allowances and where they choose to do so, it must be in accordance with a policy. </w:t>
      </w:r>
    </w:p>
    <w:p w:rsidR="00904617" w:rsidRPr="00904617" w:rsidRDefault="00904617" w:rsidP="00904617">
      <w:pPr>
        <w:pStyle w:val="Heading3"/>
        <w:spacing w:before="120"/>
        <w:jc w:val="both"/>
        <w:rPr>
          <w:rFonts w:ascii="Verdana" w:hAnsi="Verdana" w:cs="Arial"/>
          <w:b w:val="0"/>
          <w:color w:val="000000" w:themeColor="text1"/>
          <w:sz w:val="20"/>
        </w:rPr>
      </w:pPr>
      <w:r w:rsidRPr="00904617">
        <w:rPr>
          <w:rFonts w:ascii="Verdana" w:hAnsi="Verdana" w:cs="Arial"/>
          <w:color w:val="000000" w:themeColor="text1"/>
          <w:sz w:val="20"/>
        </w:rPr>
        <w:t xml:space="preserve">This policy statement has been developed in accordance with the School Governance (Roles, Procedures and Allowances) (England) Regulations 2013. </w:t>
      </w:r>
      <w:r w:rsidRPr="00904617">
        <w:rPr>
          <w:rFonts w:ascii="Verdana" w:hAnsi="Verdana" w:cs="Arial"/>
          <w:b w:val="0"/>
          <w:color w:val="000000" w:themeColor="text1"/>
          <w:sz w:val="20"/>
        </w:rPr>
        <w:t xml:space="preserve">These regulations give Governing Boards the discretion to pay allowances from the school’s annual budget allocation to Governors for certain allowances which they incur in carrying out their duties. </w:t>
      </w:r>
    </w:p>
    <w:p w:rsidR="00904617" w:rsidRPr="00904617" w:rsidRDefault="00904617" w:rsidP="00904617">
      <w:pPr>
        <w:pStyle w:val="Heading3"/>
        <w:spacing w:before="120"/>
        <w:jc w:val="both"/>
        <w:rPr>
          <w:rFonts w:ascii="Verdana" w:hAnsi="Verdana" w:cs="Arial"/>
          <w:b w:val="0"/>
          <w:color w:val="000000" w:themeColor="text1"/>
          <w:sz w:val="20"/>
        </w:rPr>
      </w:pPr>
      <w:r w:rsidRPr="00904617">
        <w:rPr>
          <w:rFonts w:ascii="Verdana" w:hAnsi="Verdana" w:cs="Arial"/>
          <w:b w:val="0"/>
          <w:color w:val="000000" w:themeColor="text1"/>
          <w:sz w:val="20"/>
        </w:rPr>
        <w:t>St Anthony’s School Governing Body believes that paying Governors’ allowances, in specific categories as set out below, is important in ensuring equality of opportunity to serve as Governors for all members of the community and so is an appropriate use of school funds. The specific items allowable reflect this objective.</w:t>
      </w:r>
      <w:r w:rsidRPr="00904617">
        <w:rPr>
          <w:rFonts w:ascii="Verdana" w:hAnsi="Verdana" w:cs="Arial"/>
          <w:color w:val="000000" w:themeColor="text1"/>
          <w:sz w:val="20"/>
        </w:rPr>
        <w:t xml:space="preserve"> </w:t>
      </w:r>
      <w:r w:rsidRPr="00904617">
        <w:rPr>
          <w:rFonts w:ascii="Verdana" w:hAnsi="Verdana" w:cs="Arial"/>
          <w:b w:val="0"/>
          <w:color w:val="000000" w:themeColor="text1"/>
          <w:sz w:val="20"/>
        </w:rPr>
        <w:t>This does not include payments for attendance allowance or to cover loss of earnings for attending meetings.</w:t>
      </w:r>
    </w:p>
    <w:p w:rsidR="00904617" w:rsidRPr="00904617" w:rsidRDefault="00904617" w:rsidP="00904617">
      <w:pPr>
        <w:rPr>
          <w:rFonts w:ascii="Verdana" w:hAnsi="Verdana"/>
          <w:color w:val="000000" w:themeColor="text1"/>
          <w:sz w:val="20"/>
          <w:szCs w:val="20"/>
        </w:rPr>
      </w:pPr>
    </w:p>
    <w:p w:rsidR="00904617" w:rsidRPr="00904617" w:rsidRDefault="00904617" w:rsidP="00904617">
      <w:pPr>
        <w:jc w:val="both"/>
        <w:rPr>
          <w:rFonts w:ascii="Verdana" w:hAnsi="Verdana" w:cs="Arial"/>
          <w:color w:val="000000" w:themeColor="text1"/>
          <w:sz w:val="20"/>
          <w:szCs w:val="20"/>
        </w:rPr>
      </w:pPr>
      <w:r w:rsidRPr="00904617">
        <w:rPr>
          <w:rFonts w:ascii="Verdana" w:hAnsi="Verdana" w:cs="Arial"/>
          <w:color w:val="000000" w:themeColor="text1"/>
          <w:sz w:val="20"/>
          <w:szCs w:val="20"/>
        </w:rPr>
        <w:t>All Governors of St Anthony’s School are entitled to claim the actual costs, on a case-by-case basis, with the prior approval of the Governing Body, in which they incur as follows:</w:t>
      </w:r>
    </w:p>
    <w:p w:rsidR="00904617" w:rsidRPr="00904617" w:rsidRDefault="00904617" w:rsidP="00904617">
      <w:pPr>
        <w:rPr>
          <w:rFonts w:ascii="Verdana" w:hAnsi="Verdana" w:cs="Arial"/>
          <w:color w:val="000000" w:themeColor="text1"/>
          <w:sz w:val="20"/>
          <w:szCs w:val="20"/>
        </w:rPr>
      </w:pP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To attend Governors’ Meetings, Committee Meetings and any other meeting, which as a Governor you are required to attend</w:t>
      </w: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To attend monitoring visits</w:t>
      </w: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To attend training or Governor Briefings provi</w:t>
      </w:r>
      <w:r w:rsidR="00765EBA">
        <w:rPr>
          <w:rFonts w:ascii="Verdana" w:hAnsi="Verdana" w:cs="Arial"/>
          <w:color w:val="000000" w:themeColor="text1"/>
          <w:sz w:val="20"/>
          <w:szCs w:val="20"/>
        </w:rPr>
        <w:t>ded by Governor Services</w:t>
      </w: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To attend conferences other than those mentioned above (which have approval)</w:t>
      </w: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Other justifiable allowances not mentioned above – as agreed by the Chair of the Board</w:t>
      </w:r>
    </w:p>
    <w:p w:rsidR="00904617" w:rsidRPr="00904617" w:rsidRDefault="00904617" w:rsidP="00904617">
      <w:pPr>
        <w:numPr>
          <w:ilvl w:val="0"/>
          <w:numId w:val="38"/>
        </w:numPr>
        <w:rPr>
          <w:rFonts w:ascii="Verdana" w:hAnsi="Verdana" w:cs="Arial"/>
          <w:color w:val="000000" w:themeColor="text1"/>
          <w:sz w:val="20"/>
          <w:szCs w:val="20"/>
        </w:rPr>
      </w:pPr>
      <w:r w:rsidRPr="00904617">
        <w:rPr>
          <w:rFonts w:ascii="Verdana" w:hAnsi="Verdana" w:cs="Arial"/>
          <w:color w:val="000000" w:themeColor="text1"/>
          <w:sz w:val="20"/>
          <w:szCs w:val="20"/>
        </w:rPr>
        <w:t>Casual visits to the School for School events do not qualify</w:t>
      </w:r>
    </w:p>
    <w:p w:rsidR="00904617" w:rsidRPr="00904617" w:rsidRDefault="00904617" w:rsidP="00904617">
      <w:pPr>
        <w:ind w:left="360"/>
        <w:rPr>
          <w:rFonts w:ascii="Verdana" w:hAnsi="Verdana" w:cs="Arial"/>
          <w:color w:val="000000" w:themeColor="text1"/>
          <w:sz w:val="20"/>
          <w:szCs w:val="20"/>
        </w:rPr>
      </w:pPr>
    </w:p>
    <w:p w:rsidR="00C340C6" w:rsidRPr="007C460A" w:rsidRDefault="00D263D9" w:rsidP="00904617">
      <w:pPr>
        <w:rPr>
          <w:rFonts w:ascii="Verdana" w:hAnsi="Verdana" w:cs="Arial"/>
          <w:color w:val="000000" w:themeColor="text1"/>
          <w:sz w:val="20"/>
          <w:szCs w:val="20"/>
        </w:rPr>
      </w:pPr>
      <w:r w:rsidRPr="007C460A">
        <w:rPr>
          <w:rFonts w:ascii="Verdana" w:hAnsi="Verdana" w:cs="Arial"/>
          <w:color w:val="000000" w:themeColor="text1"/>
          <w:sz w:val="20"/>
          <w:szCs w:val="20"/>
        </w:rPr>
        <w:t xml:space="preserve">Payments may only be paid for expenditure necessarily incurred to enable the person to perform any duty as a governor. It does not include an attendance allowance, or payment to cover loss of earnings. </w:t>
      </w:r>
      <w:r w:rsidR="00C340C6" w:rsidRPr="007C460A">
        <w:rPr>
          <w:rFonts w:ascii="Verdana" w:hAnsi="Verdana" w:cs="Arial"/>
          <w:color w:val="000000" w:themeColor="text1"/>
          <w:sz w:val="20"/>
          <w:szCs w:val="20"/>
        </w:rPr>
        <w:t>Payments will be made after the event.</w:t>
      </w:r>
      <w:r w:rsidR="00543E26" w:rsidRPr="007C460A">
        <w:rPr>
          <w:rFonts w:ascii="Verdana" w:hAnsi="Verdana" w:cs="Arial"/>
          <w:color w:val="000000" w:themeColor="text1"/>
          <w:sz w:val="20"/>
          <w:szCs w:val="20"/>
        </w:rPr>
        <w:t xml:space="preserve"> </w:t>
      </w:r>
    </w:p>
    <w:p w:rsidR="00904617" w:rsidRPr="00904617" w:rsidRDefault="00904617" w:rsidP="00904617">
      <w:pPr>
        <w:rPr>
          <w:rFonts w:ascii="Verdana" w:hAnsi="Verdana" w:cs="Arial"/>
          <w:color w:val="000000" w:themeColor="text1"/>
          <w:sz w:val="20"/>
          <w:szCs w:val="20"/>
        </w:rPr>
      </w:pPr>
      <w:r w:rsidRPr="00904617">
        <w:rPr>
          <w:rFonts w:ascii="Verdana" w:hAnsi="Verdana" w:cs="Arial"/>
          <w:color w:val="000000" w:themeColor="text1"/>
          <w:sz w:val="20"/>
          <w:szCs w:val="20"/>
        </w:rPr>
        <w:t>Payments of expenses where these have been, or are already met by the LA or any</w:t>
      </w:r>
      <w:r w:rsidR="00765EBA">
        <w:rPr>
          <w:rFonts w:ascii="Verdana" w:hAnsi="Verdana" w:cs="Arial"/>
          <w:color w:val="000000" w:themeColor="text1"/>
          <w:sz w:val="20"/>
          <w:szCs w:val="20"/>
        </w:rPr>
        <w:t xml:space="preserve"> other body (e.g. Trust Board</w:t>
      </w:r>
      <w:r w:rsidRPr="00904617">
        <w:rPr>
          <w:rFonts w:ascii="Verdana" w:hAnsi="Verdana" w:cs="Arial"/>
          <w:color w:val="000000" w:themeColor="text1"/>
          <w:sz w:val="20"/>
          <w:szCs w:val="20"/>
        </w:rPr>
        <w:t>) are excluded from this policy.</w:t>
      </w:r>
    </w:p>
    <w:p w:rsidR="00904617" w:rsidRPr="00904617" w:rsidRDefault="00904617" w:rsidP="00904617">
      <w:pPr>
        <w:pStyle w:val="Heading1"/>
        <w:rPr>
          <w:rFonts w:ascii="Verdana" w:hAnsi="Verdana" w:cs="Arial"/>
          <w:b/>
          <w:color w:val="000000" w:themeColor="text1"/>
          <w:sz w:val="20"/>
          <w:szCs w:val="20"/>
          <w:u w:val="single"/>
        </w:rPr>
      </w:pPr>
      <w:bookmarkStart w:id="2" w:name="_Toc3185230"/>
      <w:r w:rsidRPr="00904617">
        <w:rPr>
          <w:rFonts w:ascii="Verdana" w:hAnsi="Verdana" w:cs="Arial"/>
          <w:b/>
          <w:color w:val="000000" w:themeColor="text1"/>
          <w:sz w:val="20"/>
          <w:szCs w:val="20"/>
          <w:u w:val="single"/>
        </w:rPr>
        <w:t>Expense Allowances</w:t>
      </w:r>
      <w:bookmarkEnd w:id="2"/>
    </w:p>
    <w:p w:rsidR="00904617" w:rsidRPr="00904617" w:rsidRDefault="00904617" w:rsidP="00904617">
      <w:pPr>
        <w:rPr>
          <w:rFonts w:ascii="Verdana" w:hAnsi="Verdana" w:cs="Arial"/>
          <w:color w:val="000000" w:themeColor="text1"/>
          <w:sz w:val="20"/>
          <w:szCs w:val="20"/>
        </w:rPr>
      </w:pPr>
      <w:r w:rsidRPr="00904617">
        <w:rPr>
          <w:rFonts w:ascii="Verdana" w:hAnsi="Verdana" w:cs="Arial"/>
          <w:color w:val="000000" w:themeColor="text1"/>
          <w:sz w:val="20"/>
          <w:szCs w:val="20"/>
        </w:rPr>
        <w:t>Allowances and expenses necessarily incurred for which a claim may be made are defined in the following subsections:</w:t>
      </w:r>
    </w:p>
    <w:p w:rsidR="00904617" w:rsidRPr="00904617" w:rsidRDefault="00904617" w:rsidP="00904617">
      <w:pPr>
        <w:rPr>
          <w:rFonts w:ascii="Verdana" w:hAnsi="Verdana" w:cs="Arial"/>
          <w:color w:val="000000" w:themeColor="text1"/>
          <w:sz w:val="20"/>
          <w:szCs w:val="20"/>
        </w:rPr>
      </w:pPr>
    </w:p>
    <w:p w:rsidR="00904617" w:rsidRPr="00904617" w:rsidRDefault="00904617" w:rsidP="00904617">
      <w:pPr>
        <w:numPr>
          <w:ilvl w:val="0"/>
          <w:numId w:val="39"/>
        </w:numPr>
        <w:jc w:val="both"/>
        <w:rPr>
          <w:rFonts w:ascii="Verdana" w:hAnsi="Verdana" w:cs="Arial"/>
          <w:color w:val="000000" w:themeColor="text1"/>
          <w:sz w:val="20"/>
          <w:szCs w:val="20"/>
        </w:rPr>
      </w:pPr>
      <w:r w:rsidRPr="00904617">
        <w:rPr>
          <w:rFonts w:ascii="Verdana" w:hAnsi="Verdana" w:cs="Arial"/>
          <w:b/>
          <w:color w:val="000000" w:themeColor="text1"/>
          <w:sz w:val="20"/>
          <w:szCs w:val="20"/>
        </w:rPr>
        <w:t>Childcare or babysitting allowances</w:t>
      </w:r>
      <w:r w:rsidRPr="00904617">
        <w:rPr>
          <w:rFonts w:ascii="Verdana" w:hAnsi="Verdana" w:cs="Arial"/>
          <w:color w:val="000000" w:themeColor="text1"/>
          <w:sz w:val="20"/>
          <w:szCs w:val="20"/>
        </w:rPr>
        <w:t xml:space="preserve"> (excluding payments to a current/former spouse or partner); Where a Governor does not have a spouse, partner or other responsible adult to care for a child(ren) during a period of absence, in which that Governor attends meetings of the Governing Body, its committees or in otherwise representing the School or Governing Body; claims will be limited to reimbursing the actual cost paid to a registered childminder, a babysitter or the cost of attendance at an after school provision in which they do not regularly attend. Appropriate proof of payment will need to be submitted.</w:t>
      </w:r>
    </w:p>
    <w:p w:rsidR="00904617" w:rsidRPr="00904617" w:rsidRDefault="00904617" w:rsidP="00904617">
      <w:pPr>
        <w:ind w:left="720"/>
        <w:jc w:val="both"/>
        <w:rPr>
          <w:rFonts w:ascii="Verdana" w:hAnsi="Verdana" w:cs="Arial"/>
          <w:color w:val="000000" w:themeColor="text1"/>
          <w:sz w:val="20"/>
          <w:szCs w:val="20"/>
        </w:rPr>
      </w:pPr>
    </w:p>
    <w:p w:rsidR="00904617" w:rsidRPr="00904617" w:rsidRDefault="00904617" w:rsidP="00904617">
      <w:pPr>
        <w:numPr>
          <w:ilvl w:val="0"/>
          <w:numId w:val="39"/>
        </w:numPr>
        <w:jc w:val="both"/>
        <w:rPr>
          <w:rFonts w:ascii="Verdana" w:hAnsi="Verdana" w:cs="Arial"/>
          <w:color w:val="000000" w:themeColor="text1"/>
          <w:sz w:val="20"/>
          <w:szCs w:val="20"/>
        </w:rPr>
      </w:pPr>
      <w:r w:rsidRPr="00904617">
        <w:rPr>
          <w:rFonts w:ascii="Verdana" w:hAnsi="Verdana" w:cs="Arial"/>
          <w:b/>
          <w:color w:val="000000" w:themeColor="text1"/>
          <w:sz w:val="20"/>
          <w:szCs w:val="20"/>
        </w:rPr>
        <w:t>Cost of care arrangements for an elderly or dependent relative</w:t>
      </w:r>
      <w:r w:rsidRPr="00904617">
        <w:rPr>
          <w:rFonts w:ascii="Verdana" w:hAnsi="Verdana" w:cs="Arial"/>
          <w:color w:val="000000" w:themeColor="text1"/>
          <w:sz w:val="20"/>
          <w:szCs w:val="20"/>
        </w:rPr>
        <w:t xml:space="preserve"> (excluding payments to a current/former spouse or partner/ relative)</w:t>
      </w:r>
      <w:bookmarkStart w:id="3" w:name="_Hlk509172047"/>
      <w:r w:rsidRPr="00904617">
        <w:rPr>
          <w:rFonts w:ascii="Verdana" w:hAnsi="Verdana" w:cs="Arial"/>
          <w:color w:val="000000" w:themeColor="text1"/>
          <w:sz w:val="20"/>
          <w:szCs w:val="20"/>
        </w:rPr>
        <w:t xml:space="preserve">. Costs may be refunded in similar circumstances to childcare. Claims will be limited to reimbursing the actual amount paid to a person providing the care that </w:t>
      </w:r>
      <w:r w:rsidRPr="00904617">
        <w:rPr>
          <w:rFonts w:ascii="Verdana" w:hAnsi="Verdana" w:cs="Arial"/>
          <w:color w:val="000000" w:themeColor="text1"/>
          <w:sz w:val="20"/>
          <w:szCs w:val="20"/>
        </w:rPr>
        <w:lastRenderedPageBreak/>
        <w:t xml:space="preserve">the Governor would have provided during the period of their absence. </w:t>
      </w:r>
      <w:bookmarkStart w:id="4" w:name="_Hlk509174569"/>
      <w:r w:rsidRPr="00904617">
        <w:rPr>
          <w:rFonts w:ascii="Verdana" w:hAnsi="Verdana" w:cs="Arial"/>
          <w:color w:val="000000" w:themeColor="text1"/>
          <w:sz w:val="20"/>
          <w:szCs w:val="20"/>
        </w:rPr>
        <w:t>Appropriate proof of payment will need to be submitted.</w:t>
      </w:r>
      <w:bookmarkEnd w:id="4"/>
    </w:p>
    <w:p w:rsidR="00904617" w:rsidRPr="00904617" w:rsidRDefault="00904617" w:rsidP="00904617">
      <w:pPr>
        <w:pStyle w:val="ListParagraph"/>
        <w:jc w:val="both"/>
        <w:rPr>
          <w:rFonts w:ascii="Verdana" w:hAnsi="Verdana" w:cs="Arial"/>
          <w:color w:val="000000" w:themeColor="text1"/>
          <w:sz w:val="20"/>
          <w:szCs w:val="20"/>
        </w:rPr>
      </w:pPr>
    </w:p>
    <w:p w:rsidR="00904617" w:rsidRPr="00904617" w:rsidRDefault="00904617" w:rsidP="00904617">
      <w:pPr>
        <w:numPr>
          <w:ilvl w:val="0"/>
          <w:numId w:val="39"/>
        </w:numPr>
        <w:jc w:val="both"/>
        <w:rPr>
          <w:rFonts w:ascii="Verdana" w:hAnsi="Verdana" w:cs="Arial"/>
          <w:color w:val="000000" w:themeColor="text1"/>
          <w:sz w:val="20"/>
          <w:szCs w:val="20"/>
        </w:rPr>
      </w:pPr>
      <w:r w:rsidRPr="00904617">
        <w:rPr>
          <w:rFonts w:ascii="Verdana" w:hAnsi="Verdana" w:cs="Arial"/>
          <w:b/>
          <w:color w:val="000000" w:themeColor="text1"/>
          <w:sz w:val="20"/>
          <w:szCs w:val="20"/>
        </w:rPr>
        <w:t>Governors with a special need</w:t>
      </w:r>
      <w:r w:rsidRPr="00904617">
        <w:rPr>
          <w:rFonts w:ascii="Verdana" w:hAnsi="Verdana" w:cs="Arial"/>
          <w:color w:val="000000" w:themeColor="text1"/>
          <w:sz w:val="20"/>
          <w:szCs w:val="20"/>
        </w:rPr>
        <w:t>. Where the School or Governing Body does not provide facilities or equipment to enable a Governor for example to communicate or otherwise take part in the activity in question, claims will be limited to reimbursing the cost of, for example, provision of a signer, audiotapes, Braille documentation, or travelling and subsistence for a person providing care support. Appropriate proof of payment will need to be submitted.</w:t>
      </w:r>
    </w:p>
    <w:p w:rsidR="00904617" w:rsidRPr="00904617" w:rsidRDefault="00904617" w:rsidP="00904617">
      <w:pPr>
        <w:pStyle w:val="ListParagraph"/>
        <w:jc w:val="both"/>
        <w:rPr>
          <w:rFonts w:ascii="Verdana" w:hAnsi="Verdana" w:cs="Arial"/>
          <w:color w:val="000000" w:themeColor="text1"/>
          <w:sz w:val="20"/>
          <w:szCs w:val="20"/>
        </w:rPr>
      </w:pPr>
    </w:p>
    <w:p w:rsidR="00904617" w:rsidRPr="00904617" w:rsidRDefault="00904617" w:rsidP="00904617">
      <w:pPr>
        <w:numPr>
          <w:ilvl w:val="0"/>
          <w:numId w:val="39"/>
        </w:numPr>
        <w:jc w:val="both"/>
        <w:rPr>
          <w:rFonts w:ascii="Verdana" w:hAnsi="Verdana" w:cs="Arial"/>
          <w:b/>
          <w:color w:val="000000" w:themeColor="text1"/>
          <w:sz w:val="20"/>
          <w:szCs w:val="20"/>
        </w:rPr>
      </w:pPr>
      <w:r w:rsidRPr="00904617">
        <w:rPr>
          <w:rFonts w:ascii="Verdana" w:hAnsi="Verdana" w:cs="Arial"/>
          <w:b/>
          <w:color w:val="000000" w:themeColor="text1"/>
          <w:sz w:val="20"/>
          <w:szCs w:val="20"/>
        </w:rPr>
        <w:t xml:space="preserve">Governors whose first language is not English. </w:t>
      </w:r>
      <w:r w:rsidRPr="00904617">
        <w:rPr>
          <w:rFonts w:ascii="Verdana" w:hAnsi="Verdana" w:cs="Arial"/>
          <w:color w:val="000000" w:themeColor="text1"/>
          <w:sz w:val="20"/>
          <w:szCs w:val="20"/>
        </w:rPr>
        <w:t>The translation of documents or provision of an interpreter may be met in circumstances similar to a Governor with special needs. Appropriate proof of payment will need to be submitted.</w:t>
      </w:r>
    </w:p>
    <w:p w:rsidR="00904617" w:rsidRPr="00904617" w:rsidRDefault="00904617" w:rsidP="00904617">
      <w:pPr>
        <w:pStyle w:val="ListParagraph"/>
        <w:jc w:val="both"/>
        <w:rPr>
          <w:rFonts w:ascii="Verdana" w:hAnsi="Verdana" w:cs="Arial"/>
          <w:b/>
          <w:color w:val="000000" w:themeColor="text1"/>
          <w:sz w:val="20"/>
          <w:szCs w:val="20"/>
        </w:rPr>
      </w:pPr>
    </w:p>
    <w:p w:rsidR="00904617" w:rsidRPr="00904617" w:rsidRDefault="00904617" w:rsidP="00904617">
      <w:pPr>
        <w:numPr>
          <w:ilvl w:val="0"/>
          <w:numId w:val="39"/>
        </w:numPr>
        <w:jc w:val="both"/>
        <w:rPr>
          <w:rFonts w:ascii="Verdana" w:hAnsi="Verdana" w:cs="Arial"/>
          <w:b/>
          <w:color w:val="000000" w:themeColor="text1"/>
          <w:sz w:val="20"/>
          <w:szCs w:val="20"/>
        </w:rPr>
      </w:pPr>
      <w:r w:rsidRPr="00904617">
        <w:rPr>
          <w:rFonts w:ascii="Verdana" w:hAnsi="Verdana" w:cs="Arial"/>
          <w:b/>
          <w:color w:val="000000" w:themeColor="text1"/>
          <w:sz w:val="20"/>
          <w:szCs w:val="20"/>
        </w:rPr>
        <w:t>Telephone charges, photocopying costs, printer ink, postage and stationery.</w:t>
      </w:r>
      <w:bookmarkEnd w:id="3"/>
      <w:r w:rsidRPr="00904617">
        <w:rPr>
          <w:rFonts w:ascii="Verdana" w:hAnsi="Verdana" w:cs="Arial"/>
          <w:b/>
          <w:color w:val="000000" w:themeColor="text1"/>
          <w:sz w:val="20"/>
          <w:szCs w:val="20"/>
        </w:rPr>
        <w:t xml:space="preserve"> </w:t>
      </w:r>
      <w:r w:rsidRPr="00904617">
        <w:rPr>
          <w:rFonts w:ascii="Verdana" w:hAnsi="Verdana" w:cs="Arial"/>
          <w:color w:val="000000" w:themeColor="text1"/>
          <w:sz w:val="20"/>
          <w:szCs w:val="20"/>
        </w:rPr>
        <w:t>May be reimbursed where the Governor is unable to use the facilities of the school or their own technology in the performance of any duty on behalf of the Governing Board. Governors must keep a written record or obtain a receipt, relating to expenditure so incurred. Claims will be limited to reimbursing the actual costs involved.</w:t>
      </w:r>
      <w:r w:rsidRPr="00904617">
        <w:rPr>
          <w:rFonts w:ascii="Verdana" w:hAnsi="Verdana" w:cs="Arial"/>
          <w:b/>
          <w:color w:val="000000" w:themeColor="text1"/>
          <w:sz w:val="20"/>
          <w:szCs w:val="20"/>
        </w:rPr>
        <w:t xml:space="preserve"> </w:t>
      </w:r>
    </w:p>
    <w:p w:rsidR="00904617" w:rsidRPr="00904617" w:rsidRDefault="00904617" w:rsidP="00904617">
      <w:pPr>
        <w:pStyle w:val="ListParagraph"/>
        <w:jc w:val="both"/>
        <w:rPr>
          <w:rFonts w:ascii="Verdana" w:hAnsi="Verdana" w:cs="Arial"/>
          <w:color w:val="000000" w:themeColor="text1"/>
          <w:sz w:val="20"/>
          <w:szCs w:val="20"/>
        </w:rPr>
      </w:pPr>
    </w:p>
    <w:p w:rsidR="00904617" w:rsidRPr="00904617" w:rsidRDefault="00904617" w:rsidP="00904617">
      <w:pPr>
        <w:numPr>
          <w:ilvl w:val="0"/>
          <w:numId w:val="39"/>
        </w:numPr>
        <w:jc w:val="both"/>
        <w:rPr>
          <w:rFonts w:ascii="Verdana" w:hAnsi="Verdana" w:cs="Arial"/>
          <w:color w:val="000000" w:themeColor="text1"/>
          <w:sz w:val="20"/>
          <w:szCs w:val="20"/>
        </w:rPr>
      </w:pPr>
      <w:r w:rsidRPr="00904617">
        <w:rPr>
          <w:rFonts w:ascii="Verdana" w:hAnsi="Verdana" w:cs="Arial"/>
          <w:b/>
          <w:color w:val="000000" w:themeColor="text1"/>
          <w:sz w:val="20"/>
          <w:szCs w:val="20"/>
        </w:rPr>
        <w:t xml:space="preserve">Travel and subsistence. </w:t>
      </w:r>
      <w:r w:rsidRPr="00904617">
        <w:rPr>
          <w:rFonts w:ascii="Verdana" w:hAnsi="Verdana" w:cs="Arial"/>
          <w:color w:val="000000" w:themeColor="text1"/>
          <w:sz w:val="20"/>
          <w:szCs w:val="20"/>
        </w:rPr>
        <w:t xml:space="preserve">Mileage, by the least expensive means as possible, may be claimed where the distance between the Governors’ home and the school or other venue which Governors are required to attend on business related to the work of the Governing Body (e.g. meetings, training courses, conferences, visits to other providers, etc.) is greater than 10 miles and does not exceed 100 miles Where necessary, the cost of parking to enable attendance of Governor business away from the school site will be reimbursed up to the level of the actual charge paid, upon production of a valid receipt. Any public transport fare will be reimbursed up to the cost of a standard rail ticket. Mileage allowance will be reimbursed at the prevailing rate for school staff.  Where Governors share transport, only the driver may claim mileage expenses. </w:t>
      </w:r>
    </w:p>
    <w:p w:rsidR="00904617" w:rsidRPr="00904617" w:rsidRDefault="00904617" w:rsidP="00904617">
      <w:pPr>
        <w:pStyle w:val="ListParagraph"/>
        <w:rPr>
          <w:rFonts w:ascii="Verdana" w:hAnsi="Verdana" w:cs="Arial"/>
          <w:color w:val="000000" w:themeColor="text1"/>
          <w:sz w:val="20"/>
          <w:szCs w:val="20"/>
        </w:rPr>
      </w:pPr>
    </w:p>
    <w:p w:rsidR="00904617" w:rsidRPr="00904617" w:rsidRDefault="00904617" w:rsidP="00904617">
      <w:pPr>
        <w:ind w:left="720"/>
        <w:jc w:val="both"/>
        <w:rPr>
          <w:rFonts w:ascii="Verdana" w:hAnsi="Verdana" w:cs="Arial"/>
          <w:color w:val="000000" w:themeColor="text1"/>
          <w:sz w:val="20"/>
          <w:szCs w:val="20"/>
        </w:rPr>
      </w:pPr>
      <w:r w:rsidRPr="00904617">
        <w:rPr>
          <w:rFonts w:ascii="Verdana" w:hAnsi="Verdana" w:cs="Arial"/>
          <w:color w:val="000000" w:themeColor="text1"/>
          <w:sz w:val="20"/>
          <w:szCs w:val="20"/>
        </w:rPr>
        <w:t>The Headteacher and any Governor who is employed at the school will not be eligible to claim mileage to meetings unless an additional return journey has been made to attend.</w:t>
      </w:r>
    </w:p>
    <w:p w:rsidR="00904617" w:rsidRPr="00904617" w:rsidRDefault="00904617" w:rsidP="00904617">
      <w:pPr>
        <w:ind w:left="720"/>
        <w:jc w:val="both"/>
        <w:rPr>
          <w:rFonts w:ascii="Verdana" w:hAnsi="Verdana" w:cs="Arial"/>
          <w:color w:val="000000" w:themeColor="text1"/>
          <w:sz w:val="20"/>
          <w:szCs w:val="20"/>
        </w:rPr>
      </w:pPr>
      <w:r w:rsidRPr="00904617">
        <w:rPr>
          <w:rFonts w:ascii="Verdana" w:hAnsi="Verdana" w:cs="Arial"/>
          <w:color w:val="000000" w:themeColor="text1"/>
          <w:sz w:val="20"/>
          <w:szCs w:val="20"/>
        </w:rPr>
        <w:t>Subsistence costs associated with attending national meetings or training events will be payable at the current school rates unless these costs can be claimed from the LA or any other source.</w:t>
      </w:r>
    </w:p>
    <w:p w:rsidR="00904617" w:rsidRPr="00904617" w:rsidRDefault="00904617" w:rsidP="00904617">
      <w:pPr>
        <w:pStyle w:val="Heading1"/>
        <w:rPr>
          <w:rFonts w:ascii="Verdana" w:hAnsi="Verdana" w:cs="Arial"/>
          <w:b/>
          <w:color w:val="000000" w:themeColor="text1"/>
          <w:sz w:val="20"/>
          <w:szCs w:val="20"/>
          <w:u w:val="single"/>
        </w:rPr>
      </w:pPr>
      <w:bookmarkStart w:id="5" w:name="_Toc3185231"/>
      <w:r w:rsidRPr="00904617">
        <w:rPr>
          <w:rFonts w:ascii="Verdana" w:hAnsi="Verdana" w:cs="Arial"/>
          <w:b/>
          <w:color w:val="000000" w:themeColor="text1"/>
          <w:sz w:val="20"/>
          <w:szCs w:val="20"/>
          <w:u w:val="single"/>
        </w:rPr>
        <w:t>Claiming Expenses</w:t>
      </w:r>
      <w:bookmarkEnd w:id="5"/>
    </w:p>
    <w:p w:rsidR="00904617" w:rsidRPr="00904617" w:rsidRDefault="00904617" w:rsidP="00904617">
      <w:pPr>
        <w:rPr>
          <w:rFonts w:ascii="Verdana" w:hAnsi="Verdana" w:cs="Arial"/>
          <w:b/>
          <w:color w:val="000000" w:themeColor="text1"/>
          <w:sz w:val="20"/>
          <w:szCs w:val="20"/>
          <w:u w:val="single"/>
        </w:rPr>
      </w:pPr>
    </w:p>
    <w:p w:rsidR="00904617" w:rsidRPr="00904617" w:rsidRDefault="00904617" w:rsidP="00904617">
      <w:pPr>
        <w:jc w:val="both"/>
        <w:rPr>
          <w:rFonts w:ascii="Verdana" w:hAnsi="Verdana" w:cs="Arial"/>
          <w:color w:val="000000" w:themeColor="text1"/>
          <w:sz w:val="20"/>
          <w:szCs w:val="20"/>
        </w:rPr>
      </w:pPr>
      <w:r w:rsidRPr="00904617">
        <w:rPr>
          <w:rFonts w:ascii="Verdana" w:hAnsi="Verdana" w:cs="Arial"/>
          <w:color w:val="000000" w:themeColor="text1"/>
          <w:sz w:val="20"/>
          <w:szCs w:val="20"/>
        </w:rPr>
        <w:t xml:space="preserve">Governors wishing to make claims under these arrangements, once prior approval has been sought, should complete a claims form (obtainable from the School Office), attaching receipts where possible, and return it to the School within two weeks of the date when the allowances were incurred, when they will be submitted for approval by the Chair of the Board. </w:t>
      </w:r>
    </w:p>
    <w:p w:rsidR="00904617" w:rsidRPr="00904617" w:rsidRDefault="00904617" w:rsidP="00904617">
      <w:pPr>
        <w:jc w:val="both"/>
        <w:rPr>
          <w:rFonts w:ascii="Verdana" w:hAnsi="Verdana" w:cs="Arial"/>
          <w:color w:val="000000" w:themeColor="text1"/>
          <w:sz w:val="20"/>
          <w:szCs w:val="20"/>
        </w:rPr>
      </w:pPr>
    </w:p>
    <w:p w:rsidR="00904617" w:rsidRPr="00904617" w:rsidRDefault="00904617" w:rsidP="00904617">
      <w:pPr>
        <w:jc w:val="both"/>
        <w:rPr>
          <w:rFonts w:ascii="Verdana" w:hAnsi="Verdana" w:cs="Arial"/>
          <w:color w:val="000000" w:themeColor="text1"/>
          <w:sz w:val="20"/>
          <w:szCs w:val="20"/>
        </w:rPr>
      </w:pPr>
      <w:r w:rsidRPr="00904617">
        <w:rPr>
          <w:rFonts w:ascii="Verdana" w:hAnsi="Verdana" w:cs="Arial"/>
          <w:color w:val="000000" w:themeColor="text1"/>
          <w:sz w:val="20"/>
          <w:szCs w:val="20"/>
        </w:rPr>
        <w:t xml:space="preserve">Reimbursement will be made within a reasonable time frame. </w:t>
      </w:r>
    </w:p>
    <w:p w:rsidR="00904617" w:rsidRPr="00904617" w:rsidRDefault="00904617" w:rsidP="00904617">
      <w:pPr>
        <w:jc w:val="both"/>
        <w:rPr>
          <w:rFonts w:ascii="Verdana" w:hAnsi="Verdana" w:cs="Arial"/>
          <w:color w:val="000000" w:themeColor="text1"/>
          <w:sz w:val="20"/>
          <w:szCs w:val="20"/>
        </w:rPr>
      </w:pPr>
    </w:p>
    <w:p w:rsidR="00904617" w:rsidRDefault="00904617" w:rsidP="00904617">
      <w:pPr>
        <w:jc w:val="both"/>
        <w:rPr>
          <w:rFonts w:ascii="Verdana" w:hAnsi="Verdana" w:cs="Arial"/>
          <w:color w:val="000000" w:themeColor="text1"/>
          <w:sz w:val="20"/>
          <w:szCs w:val="20"/>
        </w:rPr>
      </w:pPr>
      <w:r w:rsidRPr="00904617">
        <w:rPr>
          <w:rFonts w:ascii="Verdana" w:hAnsi="Verdana" w:cs="Arial"/>
          <w:color w:val="000000" w:themeColor="text1"/>
          <w:sz w:val="20"/>
          <w:szCs w:val="20"/>
        </w:rPr>
        <w:t>Since expense payments form part of the expenditure of public funds, claims will be subject to independent audit as is all school expenditure. Excessive or inconsistent claims may be investigated by the Chair of the Governing Body.</w:t>
      </w:r>
    </w:p>
    <w:p w:rsidR="007C460A" w:rsidRPr="00904617" w:rsidRDefault="007C460A" w:rsidP="00904617">
      <w:pPr>
        <w:jc w:val="both"/>
        <w:rPr>
          <w:rFonts w:ascii="Verdana" w:hAnsi="Verdana" w:cs="Arial"/>
          <w:color w:val="000000" w:themeColor="text1"/>
          <w:sz w:val="20"/>
          <w:szCs w:val="20"/>
        </w:rPr>
      </w:pPr>
    </w:p>
    <w:p w:rsidR="00904617" w:rsidRPr="00904617" w:rsidRDefault="00904617" w:rsidP="00904617">
      <w:pPr>
        <w:pStyle w:val="Heading1"/>
        <w:rPr>
          <w:rFonts w:ascii="Verdana" w:hAnsi="Verdana" w:cs="Arial"/>
          <w:b/>
          <w:color w:val="000000" w:themeColor="text1"/>
          <w:sz w:val="20"/>
          <w:szCs w:val="20"/>
          <w:u w:val="single"/>
        </w:rPr>
      </w:pPr>
      <w:bookmarkStart w:id="6" w:name="_Toc3185232"/>
      <w:r w:rsidRPr="00904617">
        <w:rPr>
          <w:rFonts w:ascii="Verdana" w:hAnsi="Verdana" w:cs="Arial"/>
          <w:b/>
          <w:color w:val="000000" w:themeColor="text1"/>
          <w:sz w:val="20"/>
          <w:szCs w:val="20"/>
          <w:u w:val="single"/>
        </w:rPr>
        <w:lastRenderedPageBreak/>
        <w:t>Monitoring arrangements</w:t>
      </w:r>
      <w:bookmarkEnd w:id="6"/>
    </w:p>
    <w:p w:rsidR="00904617" w:rsidRPr="00904617" w:rsidRDefault="00904617" w:rsidP="00904617">
      <w:pPr>
        <w:rPr>
          <w:rFonts w:ascii="Verdana" w:hAnsi="Verdana" w:cs="Arial"/>
          <w:b/>
          <w:color w:val="000000" w:themeColor="text1"/>
          <w:sz w:val="20"/>
          <w:szCs w:val="20"/>
          <w:u w:val="single"/>
        </w:rPr>
      </w:pPr>
    </w:p>
    <w:p w:rsidR="00904617" w:rsidRDefault="00904617" w:rsidP="00904617">
      <w:pPr>
        <w:rPr>
          <w:rFonts w:ascii="Verdana" w:hAnsi="Verdana" w:cs="Arial"/>
          <w:color w:val="000000" w:themeColor="text1"/>
          <w:sz w:val="20"/>
          <w:szCs w:val="20"/>
        </w:rPr>
      </w:pPr>
      <w:r w:rsidRPr="00904617">
        <w:rPr>
          <w:rFonts w:ascii="Verdana" w:hAnsi="Verdana" w:cs="Arial"/>
          <w:color w:val="000000" w:themeColor="text1"/>
          <w:sz w:val="20"/>
          <w:szCs w:val="20"/>
        </w:rPr>
        <w:t>The Finance Mo</w:t>
      </w:r>
      <w:r w:rsidR="00DF7A4D">
        <w:rPr>
          <w:rFonts w:ascii="Verdana" w:hAnsi="Verdana" w:cs="Arial"/>
          <w:color w:val="000000" w:themeColor="text1"/>
          <w:sz w:val="20"/>
          <w:szCs w:val="20"/>
        </w:rPr>
        <w:t xml:space="preserve">nitoring Group will monitor the </w:t>
      </w:r>
      <w:r w:rsidRPr="00904617">
        <w:rPr>
          <w:rFonts w:ascii="Verdana" w:hAnsi="Verdana" w:cs="Arial"/>
          <w:color w:val="000000" w:themeColor="text1"/>
          <w:sz w:val="20"/>
          <w:szCs w:val="20"/>
        </w:rPr>
        <w:t>spend</w:t>
      </w:r>
      <w:r w:rsidR="00DF7A4D">
        <w:rPr>
          <w:rFonts w:ascii="Verdana" w:hAnsi="Verdana" w:cs="Arial"/>
          <w:color w:val="000000" w:themeColor="text1"/>
          <w:sz w:val="20"/>
          <w:szCs w:val="20"/>
        </w:rPr>
        <w:t>ing</w:t>
      </w:r>
      <w:r w:rsidRPr="00904617">
        <w:rPr>
          <w:rFonts w:ascii="Verdana" w:hAnsi="Verdana" w:cs="Arial"/>
          <w:color w:val="000000" w:themeColor="text1"/>
          <w:sz w:val="20"/>
          <w:szCs w:val="20"/>
        </w:rPr>
        <w:t xml:space="preserve"> as part of their monitoring duties and report back to the Full Governing Body.</w:t>
      </w:r>
    </w:p>
    <w:p w:rsidR="00904617" w:rsidRDefault="00904617" w:rsidP="00904617">
      <w:pPr>
        <w:rPr>
          <w:rFonts w:ascii="Verdana" w:hAnsi="Verdana" w:cs="Arial"/>
          <w:color w:val="000000" w:themeColor="text1"/>
          <w:sz w:val="20"/>
          <w:szCs w:val="20"/>
        </w:rPr>
      </w:pPr>
    </w:p>
    <w:p w:rsidR="00904617" w:rsidRDefault="00904617" w:rsidP="00904617">
      <w:pPr>
        <w:rPr>
          <w:rFonts w:ascii="Verdana" w:hAnsi="Verdana"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6"/>
        <w:gridCol w:w="4140"/>
      </w:tblGrid>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color w:val="000000"/>
                <w:sz w:val="20"/>
                <w:szCs w:val="20"/>
              </w:rPr>
            </w:pPr>
            <w:r w:rsidRPr="0039774B">
              <w:rPr>
                <w:rFonts w:ascii="Verdana" w:hAnsi="Verdana"/>
                <w:b/>
                <w:bCs/>
                <w:color w:val="000000"/>
                <w:sz w:val="20"/>
                <w:szCs w:val="20"/>
              </w:rPr>
              <w:t xml:space="preserve">Document Title: </w:t>
            </w:r>
          </w:p>
        </w:tc>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sz w:val="20"/>
                <w:szCs w:val="20"/>
              </w:rPr>
            </w:pPr>
            <w:r w:rsidRPr="0039774B">
              <w:rPr>
                <w:rFonts w:ascii="Verdana" w:hAnsi="Verdana"/>
                <w:sz w:val="20"/>
                <w:szCs w:val="20"/>
              </w:rPr>
              <w:t>Governors Allowance</w:t>
            </w:r>
          </w:p>
        </w:tc>
      </w:tr>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color w:val="000000"/>
                <w:sz w:val="20"/>
                <w:szCs w:val="20"/>
              </w:rPr>
            </w:pPr>
            <w:bookmarkStart w:id="7" w:name="_GoBack" w:colFirst="1" w:colLast="1"/>
            <w:r w:rsidRPr="0039774B">
              <w:rPr>
                <w:rFonts w:ascii="Verdana" w:hAnsi="Verdana"/>
                <w:b/>
                <w:bCs/>
                <w:color w:val="000000"/>
                <w:sz w:val="20"/>
                <w:szCs w:val="20"/>
              </w:rPr>
              <w:t xml:space="preserve">Version: </w:t>
            </w:r>
          </w:p>
        </w:tc>
        <w:tc>
          <w:tcPr>
            <w:tcW w:w="4338" w:type="dxa"/>
            <w:tcMar>
              <w:top w:w="0" w:type="dxa"/>
              <w:left w:w="108" w:type="dxa"/>
              <w:bottom w:w="0" w:type="dxa"/>
              <w:right w:w="108" w:type="dxa"/>
            </w:tcMar>
          </w:tcPr>
          <w:p w:rsidR="00904617" w:rsidRPr="007C460A" w:rsidRDefault="00904617" w:rsidP="002E3519">
            <w:pPr>
              <w:autoSpaceDE w:val="0"/>
              <w:autoSpaceDN w:val="0"/>
              <w:spacing w:line="276" w:lineRule="auto"/>
              <w:rPr>
                <w:rFonts w:ascii="Verdana" w:hAnsi="Verdana"/>
                <w:color w:val="000000" w:themeColor="text1"/>
                <w:sz w:val="20"/>
                <w:szCs w:val="20"/>
              </w:rPr>
            </w:pPr>
            <w:r w:rsidRPr="007C460A">
              <w:rPr>
                <w:rFonts w:ascii="Verdana" w:hAnsi="Verdana"/>
                <w:color w:val="000000" w:themeColor="text1"/>
                <w:sz w:val="20"/>
                <w:szCs w:val="20"/>
              </w:rPr>
              <w:t xml:space="preserve">K-SENT Version </w:t>
            </w:r>
            <w:r w:rsidR="00765EBA" w:rsidRPr="007C460A">
              <w:rPr>
                <w:rFonts w:ascii="Verdana" w:hAnsi="Verdana"/>
                <w:color w:val="000000" w:themeColor="text1"/>
                <w:sz w:val="20"/>
                <w:szCs w:val="20"/>
              </w:rPr>
              <w:t>2</w:t>
            </w:r>
          </w:p>
        </w:tc>
      </w:tr>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color w:val="000000"/>
                <w:sz w:val="20"/>
                <w:szCs w:val="20"/>
              </w:rPr>
            </w:pPr>
            <w:r w:rsidRPr="0039774B">
              <w:rPr>
                <w:rFonts w:ascii="Verdana" w:hAnsi="Verdana"/>
                <w:b/>
                <w:bCs/>
                <w:color w:val="000000"/>
                <w:sz w:val="20"/>
                <w:szCs w:val="20"/>
              </w:rPr>
              <w:t xml:space="preserve">Prepared by: </w:t>
            </w:r>
          </w:p>
        </w:tc>
        <w:tc>
          <w:tcPr>
            <w:tcW w:w="4338" w:type="dxa"/>
            <w:tcMar>
              <w:top w:w="0" w:type="dxa"/>
              <w:left w:w="108" w:type="dxa"/>
              <w:bottom w:w="0" w:type="dxa"/>
              <w:right w:w="108" w:type="dxa"/>
            </w:tcMar>
          </w:tcPr>
          <w:p w:rsidR="00904617" w:rsidRPr="007C460A" w:rsidRDefault="00A26575" w:rsidP="00904617">
            <w:pPr>
              <w:autoSpaceDE w:val="0"/>
              <w:autoSpaceDN w:val="0"/>
              <w:spacing w:line="276" w:lineRule="auto"/>
              <w:rPr>
                <w:rFonts w:ascii="Verdana" w:hAnsi="Verdana"/>
                <w:color w:val="000000" w:themeColor="text1"/>
                <w:sz w:val="20"/>
                <w:szCs w:val="20"/>
              </w:rPr>
            </w:pPr>
            <w:r w:rsidRPr="007C460A">
              <w:rPr>
                <w:rFonts w:ascii="Verdana" w:hAnsi="Verdana"/>
                <w:color w:val="000000" w:themeColor="text1"/>
                <w:sz w:val="20"/>
                <w:szCs w:val="20"/>
              </w:rPr>
              <w:t>Antony Curry</w:t>
            </w:r>
          </w:p>
        </w:tc>
      </w:tr>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color w:val="000000"/>
                <w:sz w:val="20"/>
                <w:szCs w:val="20"/>
              </w:rPr>
            </w:pPr>
            <w:r w:rsidRPr="0039774B">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tcPr>
          <w:p w:rsidR="00904617" w:rsidRPr="007C460A" w:rsidRDefault="00DF7A4D" w:rsidP="002E3519">
            <w:pPr>
              <w:autoSpaceDE w:val="0"/>
              <w:autoSpaceDN w:val="0"/>
              <w:spacing w:line="276" w:lineRule="auto"/>
              <w:rPr>
                <w:rFonts w:ascii="Verdana" w:hAnsi="Verdana"/>
                <w:color w:val="000000" w:themeColor="text1"/>
                <w:sz w:val="20"/>
                <w:szCs w:val="20"/>
              </w:rPr>
            </w:pPr>
            <w:r w:rsidRPr="007C460A">
              <w:rPr>
                <w:rFonts w:ascii="Verdana" w:hAnsi="Verdana"/>
                <w:color w:val="000000" w:themeColor="text1"/>
                <w:sz w:val="20"/>
                <w:szCs w:val="20"/>
              </w:rPr>
              <w:t xml:space="preserve">Ratified at the FGB on </w:t>
            </w:r>
            <w:r w:rsidR="00A26575" w:rsidRPr="007C460A">
              <w:rPr>
                <w:rFonts w:ascii="Verdana" w:hAnsi="Verdana"/>
                <w:color w:val="000000" w:themeColor="text1"/>
                <w:sz w:val="20"/>
                <w:szCs w:val="20"/>
              </w:rPr>
              <w:t>24.9.24</w:t>
            </w:r>
          </w:p>
        </w:tc>
      </w:tr>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color w:val="000000"/>
                <w:sz w:val="20"/>
                <w:szCs w:val="20"/>
              </w:rPr>
            </w:pPr>
            <w:r w:rsidRPr="0039774B">
              <w:rPr>
                <w:rFonts w:ascii="Verdana" w:hAnsi="Verdana"/>
                <w:b/>
                <w:bCs/>
                <w:color w:val="000000"/>
                <w:sz w:val="20"/>
                <w:szCs w:val="20"/>
              </w:rPr>
              <w:t xml:space="preserve">Date for Next Review: </w:t>
            </w:r>
          </w:p>
        </w:tc>
        <w:tc>
          <w:tcPr>
            <w:tcW w:w="4338" w:type="dxa"/>
            <w:tcMar>
              <w:top w:w="0" w:type="dxa"/>
              <w:left w:w="108" w:type="dxa"/>
              <w:bottom w:w="0" w:type="dxa"/>
              <w:right w:w="108" w:type="dxa"/>
            </w:tcMar>
          </w:tcPr>
          <w:p w:rsidR="00904617" w:rsidRPr="007C460A" w:rsidRDefault="00A26575" w:rsidP="002E3519">
            <w:pPr>
              <w:autoSpaceDE w:val="0"/>
              <w:autoSpaceDN w:val="0"/>
              <w:spacing w:line="276" w:lineRule="auto"/>
              <w:rPr>
                <w:rFonts w:ascii="Verdana" w:hAnsi="Verdana"/>
                <w:color w:val="000000" w:themeColor="text1"/>
                <w:sz w:val="20"/>
                <w:szCs w:val="20"/>
              </w:rPr>
            </w:pPr>
            <w:r w:rsidRPr="007C460A">
              <w:rPr>
                <w:rFonts w:ascii="Verdana" w:hAnsi="Verdana"/>
                <w:color w:val="000000" w:themeColor="text1"/>
                <w:sz w:val="20"/>
                <w:szCs w:val="20"/>
              </w:rPr>
              <w:t>Sept</w:t>
            </w:r>
            <w:r w:rsidR="00904617" w:rsidRPr="007C460A">
              <w:rPr>
                <w:rFonts w:ascii="Verdana" w:hAnsi="Verdana"/>
                <w:color w:val="000000" w:themeColor="text1"/>
                <w:sz w:val="20"/>
                <w:szCs w:val="20"/>
              </w:rPr>
              <w:t xml:space="preserve"> 202</w:t>
            </w:r>
            <w:r w:rsidRPr="007C460A">
              <w:rPr>
                <w:rFonts w:ascii="Verdana" w:hAnsi="Verdana"/>
                <w:color w:val="000000" w:themeColor="text1"/>
                <w:sz w:val="20"/>
                <w:szCs w:val="20"/>
              </w:rPr>
              <w:t>6</w:t>
            </w:r>
          </w:p>
        </w:tc>
      </w:tr>
      <w:tr w:rsidR="00904617" w:rsidTr="002E3519">
        <w:trPr>
          <w:trHeight w:val="114"/>
        </w:trPr>
        <w:tc>
          <w:tcPr>
            <w:tcW w:w="4338" w:type="dxa"/>
            <w:tcMar>
              <w:top w:w="0" w:type="dxa"/>
              <w:left w:w="108" w:type="dxa"/>
              <w:bottom w:w="0" w:type="dxa"/>
              <w:right w:w="108" w:type="dxa"/>
            </w:tcMar>
          </w:tcPr>
          <w:p w:rsidR="00904617" w:rsidRPr="0039774B" w:rsidRDefault="00904617" w:rsidP="002E3519">
            <w:pPr>
              <w:autoSpaceDE w:val="0"/>
              <w:autoSpaceDN w:val="0"/>
              <w:spacing w:line="276" w:lineRule="auto"/>
              <w:rPr>
                <w:rFonts w:ascii="Verdana" w:hAnsi="Verdana"/>
                <w:b/>
                <w:bCs/>
                <w:color w:val="000000"/>
                <w:sz w:val="20"/>
                <w:szCs w:val="20"/>
              </w:rPr>
            </w:pPr>
            <w:r w:rsidRPr="0039774B">
              <w:rPr>
                <w:rFonts w:ascii="Verdana" w:hAnsi="Verdana"/>
                <w:b/>
                <w:bCs/>
                <w:color w:val="000000"/>
                <w:sz w:val="20"/>
                <w:szCs w:val="20"/>
              </w:rPr>
              <w:t>Link on School Website</w:t>
            </w:r>
          </w:p>
        </w:tc>
        <w:tc>
          <w:tcPr>
            <w:tcW w:w="4338" w:type="dxa"/>
            <w:tcMar>
              <w:top w:w="0" w:type="dxa"/>
              <w:left w:w="108" w:type="dxa"/>
              <w:bottom w:w="0" w:type="dxa"/>
              <w:right w:w="108" w:type="dxa"/>
            </w:tcMar>
          </w:tcPr>
          <w:p w:rsidR="00904617" w:rsidRPr="007C460A" w:rsidRDefault="00DF7A4D" w:rsidP="002E3519">
            <w:pPr>
              <w:autoSpaceDE w:val="0"/>
              <w:autoSpaceDN w:val="0"/>
              <w:spacing w:line="276" w:lineRule="auto"/>
              <w:rPr>
                <w:rFonts w:ascii="Verdana" w:hAnsi="Verdana"/>
                <w:color w:val="000000" w:themeColor="text1"/>
                <w:sz w:val="20"/>
                <w:szCs w:val="20"/>
              </w:rPr>
            </w:pPr>
            <w:r w:rsidRPr="007C460A">
              <w:rPr>
                <w:rFonts w:ascii="Verdana" w:hAnsi="Verdana"/>
                <w:color w:val="000000" w:themeColor="text1"/>
                <w:sz w:val="20"/>
                <w:szCs w:val="20"/>
              </w:rPr>
              <w:t>Yes</w:t>
            </w:r>
          </w:p>
        </w:tc>
      </w:tr>
      <w:bookmarkEnd w:id="7"/>
    </w:tbl>
    <w:p w:rsidR="00904617" w:rsidRPr="00904617" w:rsidRDefault="00904617" w:rsidP="00904617">
      <w:pPr>
        <w:rPr>
          <w:rFonts w:ascii="Verdana" w:hAnsi="Verdana" w:cs="Arial"/>
          <w:color w:val="000000" w:themeColor="text1"/>
          <w:sz w:val="20"/>
          <w:szCs w:val="20"/>
        </w:rPr>
      </w:pPr>
    </w:p>
    <w:p w:rsidR="00904617" w:rsidRPr="00904617" w:rsidRDefault="00904617">
      <w:pPr>
        <w:rPr>
          <w:rFonts w:ascii="Verdana" w:hAnsi="Verdana"/>
          <w:sz w:val="20"/>
          <w:szCs w:val="20"/>
        </w:rPr>
      </w:pPr>
    </w:p>
    <w:sectPr w:rsidR="00904617" w:rsidRPr="00904617" w:rsidSect="00A33E99">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617" w:rsidRDefault="00904617">
      <w:r>
        <w:separator/>
      </w:r>
    </w:p>
  </w:endnote>
  <w:endnote w:type="continuationSeparator" w:id="0">
    <w:p w:rsidR="00904617" w:rsidRDefault="0090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606508" w:rsidRDefault="0039774B">
        <w:pPr>
          <w:pStyle w:val="Footer"/>
          <w:jc w:val="center"/>
        </w:pPr>
        <w:r>
          <w:fldChar w:fldCharType="begin"/>
        </w:r>
        <w:r>
          <w:instrText xml:space="preserve"> PAGE   \* MERGEFORMAT </w:instrText>
        </w:r>
        <w:r>
          <w:fldChar w:fldCharType="separate"/>
        </w:r>
        <w:r w:rsidR="00DB6F7D">
          <w:rPr>
            <w:noProof/>
          </w:rPr>
          <w:t>2</w:t>
        </w:r>
        <w:r>
          <w:rPr>
            <w:noProof/>
          </w:rPr>
          <w:fldChar w:fldCharType="end"/>
        </w:r>
      </w:p>
    </w:sdtContent>
  </w:sdt>
  <w:p w:rsidR="00606508" w:rsidRDefault="0060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617" w:rsidRDefault="00904617">
      <w:r>
        <w:separator/>
      </w:r>
    </w:p>
  </w:footnote>
  <w:footnote w:type="continuationSeparator" w:id="0">
    <w:p w:rsidR="00904617" w:rsidRDefault="0090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508" w:rsidRDefault="00606508">
    <w:pPr>
      <w:pStyle w:val="Header"/>
      <w:ind w:left="-709"/>
      <w:rPr>
        <w:b/>
      </w:rPr>
    </w:pPr>
  </w:p>
  <w:p w:rsidR="00606508" w:rsidRDefault="0039774B">
    <w:pPr>
      <w:pStyle w:val="Header"/>
      <w:ind w:left="-709"/>
      <w:rPr>
        <w:b/>
      </w:rPr>
    </w:pPr>
    <w:r>
      <w:rPr>
        <w:b/>
      </w:rPr>
      <w:t xml:space="preserve">St Anthony’s School </w:t>
    </w:r>
    <w:r w:rsidR="00904617">
      <w:rPr>
        <w:b/>
      </w:rPr>
      <w:t>Governors Allowance</w:t>
    </w:r>
    <w:r>
      <w:rPr>
        <w:b/>
      </w:rPr>
      <w:tab/>
      <w:t xml:space="preserve"> </w:t>
    </w:r>
    <w:r>
      <w:rPr>
        <w:b/>
      </w:rPr>
      <w:tab/>
    </w:r>
    <w:r w:rsidR="00A26575">
      <w:rPr>
        <w:b/>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7"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1"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32007"/>
    <w:multiLevelType w:val="hybridMultilevel"/>
    <w:tmpl w:val="DEC6E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ED5334"/>
    <w:multiLevelType w:val="hybridMultilevel"/>
    <w:tmpl w:val="422C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6"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4"/>
  </w:num>
  <w:num w:numId="4">
    <w:abstractNumId w:val="37"/>
  </w:num>
  <w:num w:numId="5">
    <w:abstractNumId w:val="29"/>
  </w:num>
  <w:num w:numId="6">
    <w:abstractNumId w:val="8"/>
  </w:num>
  <w:num w:numId="7">
    <w:abstractNumId w:val="6"/>
  </w:num>
  <w:num w:numId="8">
    <w:abstractNumId w:val="1"/>
  </w:num>
  <w:num w:numId="9">
    <w:abstractNumId w:val="19"/>
  </w:num>
  <w:num w:numId="10">
    <w:abstractNumId w:val="27"/>
  </w:num>
  <w:num w:numId="11">
    <w:abstractNumId w:val="23"/>
  </w:num>
  <w:num w:numId="12">
    <w:abstractNumId w:val="15"/>
  </w:num>
  <w:num w:numId="13">
    <w:abstractNumId w:val="23"/>
  </w:num>
  <w:num w:numId="14">
    <w:abstractNumId w:val="34"/>
  </w:num>
  <w:num w:numId="15">
    <w:abstractNumId w:val="9"/>
  </w:num>
  <w:num w:numId="16">
    <w:abstractNumId w:val="36"/>
  </w:num>
  <w:num w:numId="17">
    <w:abstractNumId w:val="30"/>
  </w:num>
  <w:num w:numId="18">
    <w:abstractNumId w:val="22"/>
  </w:num>
  <w:num w:numId="19">
    <w:abstractNumId w:val="13"/>
  </w:num>
  <w:num w:numId="20">
    <w:abstractNumId w:val="17"/>
  </w:num>
  <w:num w:numId="21">
    <w:abstractNumId w:val="2"/>
  </w:num>
  <w:num w:numId="22">
    <w:abstractNumId w:val="0"/>
  </w:num>
  <w:num w:numId="23">
    <w:abstractNumId w:val="14"/>
  </w:num>
  <w:num w:numId="24">
    <w:abstractNumId w:val="11"/>
  </w:num>
  <w:num w:numId="25">
    <w:abstractNumId w:val="33"/>
  </w:num>
  <w:num w:numId="26">
    <w:abstractNumId w:val="31"/>
  </w:num>
  <w:num w:numId="27">
    <w:abstractNumId w:val="5"/>
  </w:num>
  <w:num w:numId="28">
    <w:abstractNumId w:val="20"/>
  </w:num>
  <w:num w:numId="29">
    <w:abstractNumId w:val="12"/>
  </w:num>
  <w:num w:numId="30">
    <w:abstractNumId w:val="21"/>
  </w:num>
  <w:num w:numId="31">
    <w:abstractNumId w:val="35"/>
  </w:num>
  <w:num w:numId="32">
    <w:abstractNumId w:val="3"/>
  </w:num>
  <w:num w:numId="33">
    <w:abstractNumId w:val="16"/>
  </w:num>
  <w:num w:numId="34">
    <w:abstractNumId w:val="10"/>
  </w:num>
  <w:num w:numId="35">
    <w:abstractNumId w:val="24"/>
  </w:num>
  <w:num w:numId="36">
    <w:abstractNumId w:val="7"/>
  </w:num>
  <w:num w:numId="37">
    <w:abstractNumId w:val="28"/>
  </w:num>
  <w:num w:numId="38">
    <w:abstractNumId w:val="3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17"/>
    <w:rsid w:val="001A1CF9"/>
    <w:rsid w:val="0039774B"/>
    <w:rsid w:val="00543E26"/>
    <w:rsid w:val="00606508"/>
    <w:rsid w:val="00765EBA"/>
    <w:rsid w:val="007C460A"/>
    <w:rsid w:val="00904617"/>
    <w:rsid w:val="00A26575"/>
    <w:rsid w:val="00A33E99"/>
    <w:rsid w:val="00AE0EA5"/>
    <w:rsid w:val="00C340C6"/>
    <w:rsid w:val="00D263D9"/>
    <w:rsid w:val="00DB6F7D"/>
    <w:rsid w:val="00DF7A4D"/>
    <w:rsid w:val="00E5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421520"/>
  <w15:docId w15:val="{81FDF766-8E46-4E9C-AA6B-F419A7DB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04617"/>
    <w:pPr>
      <w:keepNext/>
      <w:outlineLvl w:val="2"/>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sid w:val="00904617"/>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328C-60D9-46BE-B486-6E4C6D02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3</cp:revision>
  <cp:lastPrinted>2019-03-11T08:36:00Z</cp:lastPrinted>
  <dcterms:created xsi:type="dcterms:W3CDTF">2024-09-24T06:28:00Z</dcterms:created>
  <dcterms:modified xsi:type="dcterms:W3CDTF">2024-09-26T10:12:00Z</dcterms:modified>
</cp:coreProperties>
</file>